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</w:pPr>
      <w:r>
        <w:rPr>
          <w:lang w:bidi="ar-SA"/>
        </w:rPr>
        <w:drawing>
          <wp:inline distT="0" distB="0" distL="0" distR="0">
            <wp:extent cx="5486400" cy="1341120"/>
            <wp:effectExtent l="0" t="0" r="0" b="0"/>
            <wp:docPr id="345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4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7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>
            <w:pPr>
              <w:rPr>
                <w:rFonts w:ascii="Tahoma" w:hAnsi="Tahoma" w:cs="Tahoma"/>
                <w:color w:val="FFFFFF"/>
              </w:rPr>
            </w:pPr>
            <w:r>
              <w:rPr>
                <w:rFonts w:hint="cs" w:ascii="Tahoma" w:hAnsi="Tahoma" w:cs="Tahoma"/>
                <w:color w:val="FFFFFF"/>
                <w:rtl/>
              </w:rPr>
              <w:t>الاسم : نجلاء فتحي محمد عبيد</w:t>
            </w:r>
          </w:p>
          <w:p>
            <w:pPr>
              <w:rPr>
                <w:rFonts w:ascii="Tahoma" w:hAnsi="Tahoma" w:cs="Tahoma"/>
                <w:color w:val="FF0000"/>
                <w:rtl/>
              </w:rPr>
            </w:pPr>
          </w:p>
          <w:p>
            <w:pPr>
              <w:rPr>
                <w:rFonts w:ascii="Tahoma" w:hAnsi="Tahoma" w:cs="Tahoma"/>
                <w:color w:val="FFFFFF"/>
                <w:rtl/>
              </w:rPr>
            </w:pPr>
            <w:r>
              <w:rPr>
                <w:rFonts w:hint="cs" w:ascii="Tahoma" w:hAnsi="Tahoma" w:cs="Tahoma"/>
                <w:color w:val="FFFFFF"/>
                <w:rtl/>
              </w:rPr>
              <w:t>القسم: الصيدلة الإكلينيكية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7" w:type="dxa"/>
            <w:shd w:val="clear" w:color="auto" w:fill="auto"/>
          </w:tcPr>
          <w:p>
            <w:pPr>
              <w:rPr>
                <w:rFonts w:ascii="Tahoma" w:hAnsi="Tahoma" w:cs="Tahoma"/>
                <w:rtl/>
              </w:rPr>
            </w:pPr>
            <w:r>
              <w:rPr>
                <w:rFonts w:hint="cs" w:ascii="Tahoma" w:hAnsi="Tahoma" w:cs="Tahoma"/>
                <w:rtl/>
              </w:rPr>
              <w:t>البريد الإلكتروني :</w:t>
            </w:r>
          </w:p>
          <w:p>
            <w:pPr>
              <w:rPr>
                <w:rFonts w:ascii="Tahoma" w:hAnsi="Tahoma" w:cs="Tahoma"/>
              </w:rPr>
            </w:pPr>
            <w:r>
              <w:fldChar w:fldCharType="begin"/>
            </w:r>
            <w:r>
              <w:instrText xml:space="preserve"> HYPERLINK "http://?" </w:instrText>
            </w:r>
            <w:r>
              <w:fldChar w:fldCharType="separate"/>
            </w:r>
            <w:r>
              <w:rPr>
                <w:rStyle w:val="8"/>
                <w:rFonts w:ascii="Tahoma" w:hAnsi="Tahoma" w:cs="Tahoma"/>
              </w:rPr>
              <w:t>Naglaa.fathy@phrm.menofia.edu.eg</w:t>
            </w:r>
            <w:r>
              <w:rPr>
                <w:rStyle w:val="8"/>
                <w:rFonts w:ascii="Tahoma" w:hAnsi="Tahoma" w:cs="Tahoma"/>
              </w:rPr>
              <w:fldChar w:fldCharType="end"/>
            </w:r>
          </w:p>
          <w:p>
            <w:pPr>
              <w:rPr>
                <w:rFonts w:ascii="Tahoma" w:hAnsi="Tahoma" w:cs="Tahoma"/>
              </w:rPr>
            </w:pPr>
            <w:r>
              <w:fldChar w:fldCharType="begin"/>
            </w:r>
            <w:r>
              <w:instrText xml:space="preserve"> HYPERLINK "http://?" </w:instrText>
            </w:r>
            <w:r>
              <w:fldChar w:fldCharType="separate"/>
            </w:r>
            <w:r>
              <w:rPr>
                <w:rStyle w:val="8"/>
                <w:rFonts w:ascii="Tahoma" w:hAnsi="Tahoma" w:cs="Tahoma"/>
              </w:rPr>
              <w:t>Naglafathy81@gmail.com</w:t>
            </w:r>
            <w:r>
              <w:rPr>
                <w:rStyle w:val="8"/>
                <w:rFonts w:ascii="Tahoma" w:hAnsi="Tahoma" w:cs="Tahoma"/>
              </w:rPr>
              <w:fldChar w:fldCharType="end"/>
            </w:r>
          </w:p>
          <w:p>
            <w:pPr>
              <w:rPr>
                <w:rFonts w:ascii="Tahoma" w:hAnsi="Tahoma" w:cs="Tahoma"/>
              </w:rPr>
            </w:pPr>
          </w:p>
        </w:tc>
        <w:tc>
          <w:tcPr>
            <w:tcW w:w="2235" w:type="dxa"/>
            <w:vMerge w:val="restart"/>
            <w:shd w:val="clear" w:color="auto" w:fill="auto"/>
          </w:tcPr>
          <w:p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lang w:bidi="ar-SA"/>
              </w:rPr>
              <w:drawing>
                <wp:inline distT="0" distB="0" distL="0" distR="0">
                  <wp:extent cx="1162050" cy="1263650"/>
                  <wp:effectExtent l="19050" t="0" r="0" b="0"/>
                  <wp:docPr id="2" name="Picture 1" descr="F:\صور خاصة\naglaa fat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:\صور خاصة\naglaa fat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53" cy="127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7" w:type="dxa"/>
            <w:shd w:val="clear" w:color="auto" w:fill="auto"/>
          </w:tcPr>
          <w:p>
            <w:pPr>
              <w:rPr>
                <w:rFonts w:ascii="Tahoma" w:hAnsi="Tahoma" w:cs="Tahoma"/>
                <w:rtl/>
              </w:rPr>
            </w:pPr>
            <w:r>
              <w:rPr>
                <w:rFonts w:hint="cs" w:ascii="Tahoma" w:hAnsi="Tahoma" w:cs="Tahoma"/>
                <w:rtl/>
              </w:rPr>
              <w:t>المكتب: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hint="cs" w:ascii="Tahoma" w:hAnsi="Tahoma" w:cs="Tahoma"/>
                <w:rtl/>
              </w:rPr>
              <w:t>الدور الثالث</w:t>
            </w:r>
          </w:p>
          <w:p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2235" w:type="dxa"/>
            <w:vMerge w:val="continue"/>
            <w:shd w:val="clear" w:color="auto" w:fill="auto"/>
          </w:tcPr>
          <w:p>
            <w:pPr>
              <w:rPr>
                <w:rFonts w:ascii="Tahoma" w:hAnsi="Tahoma" w:cs="Tahoma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000000"/>
          </w:tcPr>
          <w:p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hint="cs" w:ascii="Tahoma" w:hAnsi="Tahoma" w:cs="Tahoma"/>
                <w:rtl/>
              </w:rPr>
              <w:t>المؤهلات العلمية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pStyle w:val="12"/>
              <w:tabs>
                <w:tab w:val="left" w:pos="90"/>
                <w:tab w:val="left" w:pos="2247"/>
              </w:tabs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hint="cs" w:ascii="Tahoma" w:hAnsi="Tahoma" w:cs="Tahoma"/>
                <w:rtl/>
              </w:rPr>
              <w:t>ماجستير</w:t>
            </w:r>
            <w:r>
              <w:rPr>
                <w:rFonts w:ascii="Tahoma" w:hAnsi="Tahoma" w:cs="Tahoma"/>
                <w:rtl/>
              </w:rPr>
              <w:t xml:space="preserve"> – كلية الصيدلة – جامعة </w:t>
            </w:r>
            <w:r>
              <w:rPr>
                <w:rFonts w:hint="cs" w:ascii="Tahoma" w:hAnsi="Tahoma" w:cs="Tahoma"/>
                <w:rtl/>
              </w:rPr>
              <w:t>طنطا</w:t>
            </w:r>
            <w:r>
              <w:rPr>
                <w:rFonts w:ascii="Tahoma" w:hAnsi="Tahoma" w:cs="Tahoma"/>
                <w:rtl/>
              </w:rPr>
              <w:t xml:space="preserve"> (</w:t>
            </w:r>
            <w:r>
              <w:rPr>
                <w:rFonts w:hint="cs" w:ascii="Tahoma" w:hAnsi="Tahoma" w:cs="Tahoma"/>
                <w:rtl/>
              </w:rPr>
              <w:t>2020</w:t>
            </w:r>
            <w:r>
              <w:rPr>
                <w:rFonts w:ascii="Tahoma" w:hAnsi="Tahoma" w:cs="Tahoma"/>
                <w:rtl/>
              </w:rPr>
              <w:t>)</w:t>
            </w:r>
            <w:r>
              <w:rPr>
                <w:rFonts w:hint="cs" w:ascii="Tahoma" w:hAnsi="Tahoma" w:cs="Tahoma"/>
                <w:rtl/>
                <w:lang w:bidi="ar-EG"/>
              </w:rPr>
              <w:t xml:space="preserve"> تحت عنوان تأثير الاختلافات الجينية على حركية وديناميكية دواء الريبافيرين في المرضى المصريين الذين يتناولون سوفوسبوفير/ داكلاتاسفير بالإضافة إلى الريبافيرين.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tabs>
                <w:tab w:val="left" w:pos="90"/>
                <w:tab w:val="left" w:pos="2247"/>
              </w:tabs>
              <w:spacing w:line="276" w:lineRule="auto"/>
              <w:ind w:left="2268" w:hanging="2268"/>
              <w:jc w:val="right"/>
              <w:rPr>
                <w:rFonts w:ascii="Tahoma" w:hAnsi="Tahoma" w:cs="Tahoma"/>
                <w:rtl/>
              </w:rPr>
            </w:pPr>
            <w:r>
              <w:rPr>
                <w:rFonts w:hint="cs" w:ascii="Tahoma" w:hAnsi="Tahoma" w:cs="Tahoma"/>
                <w:rtl/>
                <w:lang w:bidi="ar-EG"/>
              </w:rPr>
              <w:t>بكالوريس</w:t>
            </w:r>
            <w:r>
              <w:rPr>
                <w:rFonts w:hint="cs" w:ascii="Tahoma" w:hAnsi="Tahoma" w:cs="Tahoma"/>
                <w:rtl/>
              </w:rPr>
              <w:t xml:space="preserve"> الصيدلة</w:t>
            </w:r>
            <w:r>
              <w:rPr>
                <w:rFonts w:ascii="Tahoma" w:hAnsi="Tahoma" w:cs="Tahoma"/>
                <w:rtl/>
              </w:rPr>
              <w:t xml:space="preserve"> – كلية الصيدلة – جامعة</w:t>
            </w:r>
            <w:r>
              <w:rPr>
                <w:rFonts w:hint="cs" w:ascii="Tahoma" w:hAnsi="Tahoma" w:cs="Tahoma"/>
                <w:rtl/>
              </w:rPr>
              <w:t xml:space="preserve"> طنطا</w:t>
            </w:r>
            <w:r>
              <w:rPr>
                <w:rFonts w:ascii="Tahoma" w:hAnsi="Tahoma" w:cs="Tahoma"/>
                <w:rtl/>
              </w:rPr>
              <w:t xml:space="preserve"> (</w:t>
            </w:r>
            <w:r>
              <w:rPr>
                <w:rFonts w:hint="cs" w:ascii="Tahoma" w:hAnsi="Tahoma" w:cs="Tahoma"/>
                <w:rtl/>
              </w:rPr>
              <w:t>2012</w:t>
            </w:r>
            <w:r>
              <w:rPr>
                <w:rFonts w:ascii="Tahoma" w:hAnsi="Tahoma" w:cs="Tahoma"/>
                <w:rtl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000000"/>
          </w:tcPr>
          <w:p>
            <w:pPr>
              <w:tabs>
                <w:tab w:val="center" w:pos="4153"/>
                <w:tab w:val="left" w:pos="7136"/>
              </w:tabs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ab/>
            </w:r>
            <w:r>
              <w:rPr>
                <w:rFonts w:hint="cs" w:ascii="Tahoma" w:hAnsi="Tahoma" w:cs="Tahoma"/>
                <w:rtl/>
              </w:rPr>
              <w:t>التدرج الوظيفي</w:t>
            </w:r>
            <w:r>
              <w:rPr>
                <w:rFonts w:ascii="Tahoma" w:hAnsi="Tahoma" w:cs="Tahoma"/>
                <w:rtl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pStyle w:val="12"/>
              <w:tabs>
                <w:tab w:val="left" w:pos="2247"/>
              </w:tabs>
              <w:spacing w:line="276" w:lineRule="auto"/>
              <w:ind w:left="2250" w:hanging="2250"/>
              <w:jc w:val="right"/>
              <w:rPr>
                <w:rFonts w:ascii="Tahoma" w:hAnsi="Tahoma" w:cs="Tahoma"/>
                <w:rtl/>
                <w:lang w:bidi="ar-EG"/>
              </w:rPr>
            </w:pPr>
            <w:r>
              <w:rPr>
                <w:rFonts w:hint="cs" w:ascii="Tahoma" w:hAnsi="Tahoma" w:cs="Tahoma"/>
                <w:rtl/>
                <w:lang w:bidi="ar-EG"/>
              </w:rPr>
              <w:t>معيد</w:t>
            </w:r>
            <w:r>
              <w:rPr>
                <w:rFonts w:ascii="Tahoma" w:hAnsi="Tahoma" w:cs="Tahoma"/>
                <w:rtl/>
                <w:lang w:bidi="ar-EG"/>
              </w:rPr>
              <w:t>–</w:t>
            </w:r>
            <w:r>
              <w:rPr>
                <w:rFonts w:hint="cs" w:ascii="Tahoma" w:hAnsi="Tahoma" w:cs="Tahoma"/>
                <w:rtl/>
                <w:lang w:bidi="ar-EG"/>
              </w:rPr>
              <w:t xml:space="preserve"> كلية الصيدلة </w:t>
            </w:r>
            <w:r>
              <w:rPr>
                <w:rFonts w:ascii="Tahoma" w:hAnsi="Tahoma" w:cs="Tahoma"/>
                <w:rtl/>
                <w:lang w:bidi="ar-EG"/>
              </w:rPr>
              <w:t>–</w:t>
            </w:r>
            <w:r>
              <w:rPr>
                <w:rFonts w:hint="cs" w:ascii="Tahoma" w:hAnsi="Tahoma" w:cs="Tahoma"/>
                <w:rtl/>
                <w:lang w:bidi="ar-EG"/>
              </w:rPr>
              <w:t xml:space="preserve"> جامعة طنطا (2013)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pStyle w:val="12"/>
              <w:tabs>
                <w:tab w:val="left" w:pos="2247"/>
              </w:tabs>
              <w:bidi/>
              <w:spacing w:line="276" w:lineRule="auto"/>
              <w:ind w:left="2250" w:hanging="2250"/>
              <w:rPr>
                <w:rFonts w:ascii="Tahoma" w:hAnsi="Tahoma" w:cs="Tahoma"/>
                <w:rtl/>
                <w:lang w:bidi="ar-EG"/>
              </w:rPr>
            </w:pPr>
            <w:r>
              <w:rPr>
                <w:rFonts w:ascii="Tahoma" w:hAnsi="Tahoma" w:cs="Tahoma"/>
                <w:rtl/>
                <w:lang w:eastAsia="en-GB"/>
              </w:rPr>
              <w:t>مدرس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مساعد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كلية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الصيدلة</w:t>
            </w:r>
            <w:r>
              <w:rPr>
                <w:rFonts w:hint="cs" w:ascii="Tahoma" w:hAnsi="Tahoma" w:cs="Tahoma"/>
                <w:rtl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bidi="ar-EG"/>
              </w:rPr>
              <w:t>–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جامعة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المنوفية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hint="cs" w:ascii="Tahoma" w:hAnsi="Tahoma" w:cs="Tahoma"/>
                <w:rtl/>
                <w:lang w:bidi="ar-EG"/>
              </w:rPr>
              <w:t>(2020)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000000"/>
          </w:tcPr>
          <w:p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hint="cs" w:ascii="Tahoma" w:hAnsi="Tahoma" w:cs="Tahoma"/>
                <w:rtl/>
              </w:rPr>
              <w:t>الاهتمامات البحثية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pStyle w:val="12"/>
              <w:tabs>
                <w:tab w:val="left" w:pos="2427"/>
              </w:tabs>
              <w:spacing w:line="276" w:lineRule="auto"/>
              <w:ind w:left="2430" w:hanging="2430"/>
              <w:jc w:val="right"/>
              <w:rPr>
                <w:rFonts w:ascii="Tahoma" w:hAnsi="Tahoma" w:cs="Tahoma"/>
              </w:rPr>
            </w:pPr>
            <w:r>
              <w:rPr>
                <w:rFonts w:hint="cs" w:ascii="Tahoma" w:hAnsi="Tahoma" w:cs="Tahoma"/>
                <w:rtl/>
              </w:rPr>
              <w:t xml:space="preserve">الصيدلة الإكلينيكية، تأثير الاختلاف الجيني على حركية وديناميكية الدواء وكذلك التأثير على الاستجابة للدواء وأيضاً الآثار السلبية للدواء. </w:t>
            </w:r>
          </w:p>
          <w:p>
            <w:pPr>
              <w:pStyle w:val="12"/>
              <w:tabs>
                <w:tab w:val="left" w:pos="2427"/>
              </w:tabs>
              <w:spacing w:line="276" w:lineRule="auto"/>
              <w:ind w:left="2430" w:hanging="2430"/>
              <w:jc w:val="right"/>
              <w:rPr>
                <w:rFonts w:ascii="Tahoma" w:hAnsi="Tahoma" w:cs="Tahoma"/>
                <w:rtl/>
              </w:rPr>
            </w:pPr>
          </w:p>
        </w:tc>
      </w:tr>
    </w:tbl>
    <w:p>
      <w:pPr>
        <w:rPr>
          <w:rFonts w:ascii="Tahoma" w:hAnsi="Tahoma" w:cs="Tahoma"/>
          <w:b/>
          <w:bCs/>
          <w:rtl/>
        </w:rPr>
      </w:pPr>
      <w:r>
        <w:rPr>
          <w:rFonts w:hint="cs" w:ascii="Tahoma" w:hAnsi="Tahoma" w:cs="Tahoma"/>
          <w:b/>
          <w:bCs/>
          <w:rtl/>
        </w:rPr>
        <w:t xml:space="preserve"> الأبحاث : </w:t>
      </w:r>
    </w:p>
    <w:p>
      <w:pPr>
        <w:jc w:val="both"/>
        <w:rPr>
          <w:rFonts w:ascii="Tahoma" w:hAnsi="Tahoma" w:cs="Tahoma"/>
          <w:rtl/>
        </w:rPr>
      </w:pPr>
    </w:p>
    <w:p>
      <w:pPr>
        <w:pStyle w:val="13"/>
        <w:numPr>
          <w:ilvl w:val="0"/>
          <w:numId w:val="1"/>
        </w:numPr>
        <w:bidi w:val="0"/>
      </w:pPr>
      <w:r>
        <w:t xml:space="preserve">Abdelkawy, K. S., El-Haggar, S. M., Ziada, D. H., </w:t>
      </w:r>
      <w:r>
        <w:rPr>
          <w:b/>
          <w:bCs/>
          <w:u w:val="single"/>
        </w:rPr>
        <w:t>Ebaid, N. F.</w:t>
      </w:r>
      <w:r>
        <w:t xml:space="preserve">, El-Magd, M. A., &amp; Elbarbry, F. A. (2020). The effect of genetic variations on ribavirin pharmacokinetics and treatment response in HCV-4 Egyptian patients receiving sofosbuvir/daclatasvir and ribavirin. </w:t>
      </w:r>
      <w:r>
        <w:rPr>
          <w:i/>
          <w:iCs/>
        </w:rPr>
        <w:t>Biomedicine &amp; pharmacotherapy = Biomedecine &amp; pharmacotherapie</w:t>
      </w:r>
      <w:r>
        <w:t xml:space="preserve">, </w:t>
      </w:r>
      <w:r>
        <w:rPr>
          <w:i/>
          <w:iCs/>
        </w:rPr>
        <w:t>121</w:t>
      </w:r>
      <w:r>
        <w:t xml:space="preserve">, 109657. </w:t>
      </w:r>
      <w:r>
        <w:fldChar w:fldCharType="begin"/>
      </w:r>
      <w:r>
        <w:instrText xml:space="preserve"> HYPERLINK "http://?" </w:instrText>
      </w:r>
      <w:r>
        <w:fldChar w:fldCharType="separate"/>
      </w:r>
      <w:r>
        <w:rPr>
          <w:rStyle w:val="8"/>
        </w:rPr>
        <w:t>https://doi.org/10.1016/j.biopha.2019.109657</w:t>
      </w:r>
      <w:r>
        <w:rPr>
          <w:rStyle w:val="8"/>
        </w:rPr>
        <w:fldChar w:fldCharType="end"/>
      </w:r>
    </w:p>
    <w:p>
      <w:pPr>
        <w:pStyle w:val="13"/>
        <w:bidi w:val="0"/>
      </w:pPr>
    </w:p>
    <w:p>
      <w:pPr>
        <w:rPr>
          <w:rtl/>
        </w:rPr>
      </w:pPr>
    </w:p>
    <w:p>
      <w:pPr>
        <w:rPr>
          <w:rtl/>
        </w:rPr>
      </w:pPr>
    </w:p>
    <w:p>
      <w:pPr>
        <w:rPr>
          <w:rtl/>
        </w:rPr>
      </w:pPr>
    </w:p>
    <w:p>
      <w:pPr>
        <w:rPr>
          <w:rFonts w:ascii="Tahoma" w:hAnsi="Tahoma" w:cs="Tahoma"/>
          <w:b/>
          <w:bCs/>
          <w:sz w:val="28"/>
          <w:szCs w:val="28"/>
        </w:rPr>
      </w:pPr>
    </w:p>
    <w:p>
      <w:pPr>
        <w:rPr>
          <w:rFonts w:ascii="Tahoma" w:hAnsi="Tahoma" w:cs="Tahoma"/>
          <w:b/>
          <w:bCs/>
          <w:sz w:val="28"/>
          <w:szCs w:val="28"/>
        </w:rPr>
      </w:pPr>
    </w:p>
    <w:p>
      <w:pPr>
        <w:rPr>
          <w:rFonts w:ascii="Tahoma" w:hAnsi="Tahoma" w:cs="Tahoma"/>
          <w:b/>
          <w:bCs/>
          <w:sz w:val="28"/>
          <w:szCs w:val="28"/>
        </w:rPr>
      </w:pPr>
    </w:p>
    <w:p>
      <w:pPr>
        <w:rPr>
          <w:rFonts w:ascii="Tahoma" w:hAnsi="Tahoma" w:cs="Tahoma"/>
          <w:b/>
          <w:bCs/>
          <w:sz w:val="28"/>
          <w:szCs w:val="28"/>
        </w:rPr>
      </w:pPr>
    </w:p>
    <w:p>
      <w:pPr>
        <w:rPr>
          <w:rFonts w:ascii="Tahoma" w:hAnsi="Tahoma" w:cs="Tahoma"/>
          <w:b/>
          <w:bCs/>
          <w:sz w:val="28"/>
          <w:szCs w:val="28"/>
        </w:rPr>
      </w:pPr>
    </w:p>
    <w:p>
      <w:pPr>
        <w:rPr>
          <w:rtl/>
        </w:rPr>
      </w:pPr>
      <w:r>
        <w:rPr>
          <w:rFonts w:ascii="Tahoma" w:hAnsi="Tahoma" w:cs="Tahoma"/>
          <w:b/>
          <w:bCs/>
          <w:sz w:val="28"/>
          <w:szCs w:val="28"/>
          <w:rtl/>
        </w:rPr>
        <w:br w:type="page"/>
      </w:r>
    </w:p>
    <w:tbl>
      <w:tblPr>
        <w:tblStyle w:val="4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002060"/>
          </w:tcPr>
          <w:p>
            <w:pPr>
              <w:bidi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>Naglaa Fathy Mohamed Ebaid</w:t>
            </w:r>
          </w:p>
          <w:p>
            <w:pPr>
              <w:bidi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Department : Clinical Pharmacy</w:t>
            </w:r>
          </w:p>
          <w:p>
            <w:pPr>
              <w:bidi w:val="0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Merge w:val="restart"/>
            <w:shd w:val="clear" w:color="auto" w:fill="auto"/>
          </w:tcPr>
          <w:p>
            <w:pPr>
              <w:bidi w:val="0"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lang w:bidi="ar-SA"/>
              </w:rPr>
              <w:drawing>
                <wp:inline distT="0" distB="0" distL="0" distR="0">
                  <wp:extent cx="1162050" cy="1007110"/>
                  <wp:effectExtent l="19050" t="0" r="0" b="0"/>
                  <wp:docPr id="3" name="Picture 1" descr="F:\صور خاصة\naglaa fat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F:\صور خاصة\naglaa fat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53" cy="101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  <w:shd w:val="clear" w:color="auto" w:fill="auto"/>
          </w:tcPr>
          <w:p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Email: </w:t>
            </w:r>
            <w:r>
              <w:fldChar w:fldCharType="begin"/>
            </w:r>
            <w:r>
              <w:instrText xml:space="preserve"> HYPERLINK "http://?" </w:instrText>
            </w:r>
            <w:r>
              <w:fldChar w:fldCharType="separate"/>
            </w:r>
            <w:r>
              <w:rPr>
                <w:rStyle w:val="8"/>
                <w:rFonts w:ascii="Tahoma" w:hAnsi="Tahoma" w:cs="Tahoma"/>
              </w:rPr>
              <w:t>Naglaa.fathy@phrm.menofia.edu.eg</w:t>
            </w:r>
            <w:r>
              <w:rPr>
                <w:rStyle w:val="8"/>
                <w:rFonts w:ascii="Tahoma" w:hAnsi="Tahoma" w:cs="Tahoma"/>
              </w:rPr>
              <w:fldChar w:fldCharType="end"/>
            </w:r>
            <w:r>
              <w:rPr>
                <w:rFonts w:hint="cs" w:ascii="Tahoma" w:hAnsi="Tahoma" w:cs="Tahoma"/>
                <w:rtl/>
              </w:rPr>
              <w:t xml:space="preserve"> </w:t>
            </w:r>
          </w:p>
          <w:p>
            <w:pPr>
              <w:jc w:val="right"/>
              <w:rPr>
                <w:rFonts w:ascii="Tahoma" w:hAnsi="Tahoma" w:cs="Tahoma"/>
              </w:rPr>
            </w:pPr>
            <w:r>
              <w:fldChar w:fldCharType="begin"/>
            </w:r>
            <w:r>
              <w:instrText xml:space="preserve"> HYPERLINK "http://?" </w:instrText>
            </w:r>
            <w:r>
              <w:fldChar w:fldCharType="separate"/>
            </w:r>
            <w:r>
              <w:rPr>
                <w:rStyle w:val="8"/>
                <w:rFonts w:ascii="Tahoma" w:hAnsi="Tahoma" w:cs="Tahoma"/>
              </w:rPr>
              <w:t>Naglafathy81@gmail.com</w:t>
            </w:r>
            <w:r>
              <w:rPr>
                <w:rStyle w:val="8"/>
                <w:rFonts w:ascii="Tahoma" w:hAnsi="Tahoma" w:cs="Tahoma"/>
              </w:rPr>
              <w:fldChar w:fldCharType="end"/>
            </w:r>
          </w:p>
          <w:p>
            <w:pPr>
              <w:bidi w:val="0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Merge w:val="continue"/>
            <w:shd w:val="clear" w:color="auto" w:fill="auto"/>
          </w:tcPr>
          <w:p>
            <w:pPr>
              <w:bidi w:val="0"/>
              <w:jc w:val="right"/>
              <w:rPr>
                <w:rFonts w:ascii="Tahoma" w:hAnsi="Tahoma" w:cs="Tahoma"/>
                <w:rtl/>
              </w:rPr>
            </w:pPr>
          </w:p>
        </w:tc>
        <w:tc>
          <w:tcPr>
            <w:tcW w:w="6010" w:type="dxa"/>
            <w:shd w:val="clear" w:color="auto" w:fill="auto"/>
          </w:tcPr>
          <w:p>
            <w:pPr>
              <w:bidi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Office: Floor No. 3 </w:t>
            </w:r>
            <w:r>
              <w:rPr>
                <w:rFonts w:hint="cs" w:ascii="Tahoma" w:hAnsi="Tahoma" w:cs="Tahoma"/>
                <w:rtl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002060"/>
          </w:tcPr>
          <w:p>
            <w:pPr>
              <w:bidi w:val="0"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Academic Qualifications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bidi w:val="0"/>
              <w:jc w:val="lowKashida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 xml:space="preserve">Master’s Degree of Clinical Pharmacy, Faculty of Pharmacy, Tanta University with thesis entitled with </w:t>
            </w:r>
            <w:r>
              <w:rPr>
                <w:rFonts w:ascii="Tahoma" w:hAnsi="Tahoma" w:cs="Tahoma"/>
                <w:b/>
                <w:bCs/>
              </w:rPr>
              <w:t>“The effect of genetic variations on ribavirin pharmacokinetics and pharmacodynamics in Egyptian patients receiving sofosbuvir/daclatasvir and ribavirin</w:t>
            </w:r>
            <w:r>
              <w:rPr>
                <w:rFonts w:ascii="Tahoma" w:hAnsi="Tahoma" w:cs="Tahoma"/>
                <w:bCs/>
              </w:rPr>
              <w:t>” (2020).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bidi w:val="0"/>
              <w:jc w:val="lowKashida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Bachelor degree of pharmaceutical Sciences, Tanta University (2012).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002060"/>
          </w:tcPr>
          <w:p>
            <w:pPr>
              <w:tabs>
                <w:tab w:val="center" w:pos="4153"/>
                <w:tab w:val="left" w:pos="7136"/>
              </w:tabs>
              <w:bidi w:val="0"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Academic Positions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bidi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Teaching assistant, Faculty of Pharmacy, Tanta University (2013)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bidi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Assistant lecturer of Clinical Pharmacy, Faculty of Pharmacy, Menoufia University (2020)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002060"/>
          </w:tcPr>
          <w:p>
            <w:pPr>
              <w:bidi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Research Interests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bidi w:val="0"/>
              <w:jc w:val="lowKashida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Clinical Pharmacy, Pharmacogenetics, Effect of genetic variations “SNP” on the pharmacokinetic and clinical outcomes of drug in clinical practice including drug efficacy and adverse effects. </w:t>
            </w:r>
          </w:p>
        </w:tc>
      </w:tr>
    </w:tbl>
    <w:p>
      <w:pPr>
        <w:jc w:val="right"/>
      </w:pPr>
    </w:p>
    <w:p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Researches:</w:t>
      </w:r>
    </w:p>
    <w:p>
      <w:pPr>
        <w:jc w:val="right"/>
        <w:rPr>
          <w:rFonts w:ascii="Tahoma" w:hAnsi="Tahoma" w:cs="Tahoma"/>
          <w:b/>
          <w:bCs/>
        </w:rPr>
      </w:pPr>
    </w:p>
    <w:p>
      <w:pPr>
        <w:pStyle w:val="13"/>
        <w:numPr>
          <w:ilvl w:val="0"/>
          <w:numId w:val="2"/>
        </w:numPr>
        <w:bidi w:val="0"/>
      </w:pPr>
      <w:r>
        <w:t xml:space="preserve">Abdelkawy, K. S., El-Haggar, S. M., Ziada, D. H., </w:t>
      </w:r>
      <w:r>
        <w:rPr>
          <w:b/>
          <w:bCs/>
          <w:u w:val="single"/>
        </w:rPr>
        <w:t>Ebaid, N. F.</w:t>
      </w:r>
      <w:r>
        <w:t xml:space="preserve">, El-Magd, M. A., &amp; Elbarbry, F. A. (2020). The effect of genetic variations on ribavirin pharmacokinetics and treatment response in HCV-4 Egyptian patients receiving sofosbuvir/daclatasvir and ribavirin. </w:t>
      </w:r>
      <w:r>
        <w:rPr>
          <w:i/>
          <w:iCs/>
        </w:rPr>
        <w:t>Biomedicine &amp; pharmacotherapy = Biomedecine &amp; pharmacotherapie</w:t>
      </w:r>
      <w:r>
        <w:t xml:space="preserve">, </w:t>
      </w:r>
      <w:r>
        <w:rPr>
          <w:i/>
          <w:iCs/>
        </w:rPr>
        <w:t>121</w:t>
      </w:r>
      <w:r>
        <w:t xml:space="preserve">, 109657. </w:t>
      </w:r>
      <w:r>
        <w:fldChar w:fldCharType="begin"/>
      </w:r>
      <w:r>
        <w:instrText xml:space="preserve"> HYPERLINK "http://?" </w:instrText>
      </w:r>
      <w:r>
        <w:fldChar w:fldCharType="separate"/>
      </w:r>
      <w:r>
        <w:rPr>
          <w:rStyle w:val="8"/>
        </w:rPr>
        <w:t>https://doi.org/10.1016/j.biopha.2019.109657</w:t>
      </w:r>
      <w:r>
        <w:rPr>
          <w:rStyle w:val="8"/>
        </w:rPr>
        <w:fldChar w:fldCharType="end"/>
      </w:r>
    </w:p>
    <w:p>
      <w:pPr>
        <w:jc w:val="right"/>
        <w:rPr>
          <w:rFonts w:ascii="Tahoma" w:hAnsi="Tahoma" w:cs="Tahoma"/>
        </w:rPr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11"/>
        <w:tab w:val="clear" w:pos="4680"/>
        <w:tab w:val="clear" w:pos="9360"/>
      </w:tabs>
    </w:pPr>
    <w:r>
      <w:rPr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-389890</wp:posOffset>
          </wp:positionV>
          <wp:extent cx="1084580" cy="70104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5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-447040</wp:posOffset>
          </wp:positionV>
          <wp:extent cx="864870" cy="811530"/>
          <wp:effectExtent l="0" t="0" r="0" b="0"/>
          <wp:wrapNone/>
          <wp:docPr id="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87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tl/>
      </w:rPr>
      <w:tab/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C17D1"/>
    <w:multiLevelType w:val="multilevel"/>
    <w:tmpl w:val="39CC17D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C34D8"/>
    <w:multiLevelType w:val="multilevel"/>
    <w:tmpl w:val="5FDC34D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E7"/>
    <w:rsid w:val="00027E82"/>
    <w:rsid w:val="0004405D"/>
    <w:rsid w:val="0006615A"/>
    <w:rsid w:val="000873C1"/>
    <w:rsid w:val="000B6018"/>
    <w:rsid w:val="00106CB7"/>
    <w:rsid w:val="001549D5"/>
    <w:rsid w:val="002351A0"/>
    <w:rsid w:val="002617FD"/>
    <w:rsid w:val="002725D7"/>
    <w:rsid w:val="002B0A20"/>
    <w:rsid w:val="0030169D"/>
    <w:rsid w:val="00371968"/>
    <w:rsid w:val="003750E3"/>
    <w:rsid w:val="00383A04"/>
    <w:rsid w:val="003A5D5E"/>
    <w:rsid w:val="003B3172"/>
    <w:rsid w:val="003C3141"/>
    <w:rsid w:val="003D7087"/>
    <w:rsid w:val="00443FF0"/>
    <w:rsid w:val="00507A65"/>
    <w:rsid w:val="0052383B"/>
    <w:rsid w:val="00547663"/>
    <w:rsid w:val="005A13F6"/>
    <w:rsid w:val="005B0E2E"/>
    <w:rsid w:val="005B7877"/>
    <w:rsid w:val="005C6DA0"/>
    <w:rsid w:val="0060447D"/>
    <w:rsid w:val="00657478"/>
    <w:rsid w:val="006B26F5"/>
    <w:rsid w:val="006B7783"/>
    <w:rsid w:val="007724E0"/>
    <w:rsid w:val="007F1AE7"/>
    <w:rsid w:val="008041D9"/>
    <w:rsid w:val="008866E7"/>
    <w:rsid w:val="009762E7"/>
    <w:rsid w:val="00983181"/>
    <w:rsid w:val="00993A3B"/>
    <w:rsid w:val="009A58DA"/>
    <w:rsid w:val="009D05C1"/>
    <w:rsid w:val="009F038F"/>
    <w:rsid w:val="00A25B56"/>
    <w:rsid w:val="00AA6B76"/>
    <w:rsid w:val="00AC277D"/>
    <w:rsid w:val="00B269A9"/>
    <w:rsid w:val="00B30103"/>
    <w:rsid w:val="00B44EF2"/>
    <w:rsid w:val="00B67506"/>
    <w:rsid w:val="00B82397"/>
    <w:rsid w:val="00BA7B91"/>
    <w:rsid w:val="00BE7937"/>
    <w:rsid w:val="00BF5AD7"/>
    <w:rsid w:val="00C04462"/>
    <w:rsid w:val="00C25DB1"/>
    <w:rsid w:val="00C3707D"/>
    <w:rsid w:val="00C56C5D"/>
    <w:rsid w:val="00C57F2B"/>
    <w:rsid w:val="00C86F71"/>
    <w:rsid w:val="00CE0539"/>
    <w:rsid w:val="00D03494"/>
    <w:rsid w:val="00D75B3C"/>
    <w:rsid w:val="00DA2115"/>
    <w:rsid w:val="00DF1CF2"/>
    <w:rsid w:val="00E344CF"/>
    <w:rsid w:val="00E7187E"/>
    <w:rsid w:val="00E804FA"/>
    <w:rsid w:val="00EA306B"/>
    <w:rsid w:val="00F114DE"/>
    <w:rsid w:val="00F93FFB"/>
    <w:rsid w:val="00FA7BB1"/>
    <w:rsid w:val="00FB2456"/>
    <w:rsid w:val="00FB27B7"/>
    <w:rsid w:val="00FE1033"/>
    <w:rsid w:val="70003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</w:pPr>
    <w:rPr>
      <w:rFonts w:ascii="Times New Roman" w:hAnsi="Times New Roman" w:eastAsia="Times New Roman" w:cs="Times New Roman"/>
      <w:sz w:val="24"/>
      <w:szCs w:val="24"/>
      <w:lang w:val="en-US" w:eastAsia="en-US" w:bidi="ar-EG"/>
    </w:rPr>
  </w:style>
  <w:style w:type="paragraph" w:styleId="2">
    <w:name w:val="heading 1"/>
    <w:basedOn w:val="1"/>
    <w:link w:val="11"/>
    <w:qFormat/>
    <w:uiPriority w:val="9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character" w:styleId="8">
    <w:name w:val="Hyperlink"/>
    <w:unhideWhenUsed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table" w:styleId="10">
    <w:name w:val="Table Grid"/>
    <w:basedOn w:val="4"/>
    <w:uiPriority w:val="0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link w:val="2"/>
    <w:uiPriority w:val="9"/>
    <w:rPr>
      <w:b/>
      <w:bCs/>
      <w:kern w:val="36"/>
      <w:sz w:val="48"/>
      <w:szCs w:val="48"/>
    </w:rPr>
  </w:style>
  <w:style w:type="paragraph" w:customStyle="1" w:styleId="12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99"/>
    <w:pPr>
      <w:ind w:left="720"/>
    </w:pPr>
    <w:rPr>
      <w:lang w:bidi="ar-SA"/>
    </w:rPr>
  </w:style>
  <w:style w:type="character" w:customStyle="1" w:styleId="14">
    <w:name w:val="Header Char"/>
    <w:link w:val="7"/>
    <w:uiPriority w:val="99"/>
    <w:rPr>
      <w:sz w:val="24"/>
      <w:szCs w:val="24"/>
      <w:lang w:bidi="ar-EG"/>
    </w:rPr>
  </w:style>
  <w:style w:type="character" w:customStyle="1" w:styleId="15">
    <w:name w:val="Footer Char"/>
    <w:link w:val="6"/>
    <w:uiPriority w:val="99"/>
    <w:rPr>
      <w:sz w:val="24"/>
      <w:szCs w:val="24"/>
      <w:lang w:bidi="ar-EG"/>
    </w:rPr>
  </w:style>
  <w:style w:type="character" w:customStyle="1" w:styleId="16">
    <w:name w:val="Balloon Text Char"/>
    <w:basedOn w:val="3"/>
    <w:link w:val="5"/>
    <w:semiHidden/>
    <w:uiPriority w:val="99"/>
    <w:rPr>
      <w:rFonts w:ascii="Tahoma" w:hAnsi="Tahoma" w:cs="Tahoma"/>
      <w:sz w:val="16"/>
      <w:szCs w:val="16"/>
      <w:lang w:val="en-US" w:eastAsia="en-US" w:bidi="ar-EG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2185</Characters>
  <Lines>18</Lines>
  <Paragraphs>5</Paragraphs>
  <TotalTime>1</TotalTime>
  <ScaleCrop>false</ScaleCrop>
  <LinksUpToDate>false</LinksUpToDate>
  <CharactersWithSpaces>2563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2023-04-24T17:24:00Z</dcterms:created>
  <dc:creator>وائل الدهشوري</dc:creator>
  <cp:lastModifiedBy>رشاااااا</cp:lastModifiedBy>
  <dcterms:modified xsi:type="dcterms:W3CDTF">2024-02-07T13:21:18Z</dcterms:modified>
  <dc:title>الاسم يوضع هنا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C019428FA1AC486F8C022D4FE0F8E028_13</vt:lpwstr>
  </property>
</Properties>
</file>